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Навчальна програма</w:t>
      </w:r>
    </w:p>
    <w:tbl>
      <w:tblPr>
        <w:tblStyle w:val="Table1"/>
        <w:tblpPr w:leftFromText="180" w:rightFromText="180" w:topFromText="0" w:bottomFromText="0" w:vertAnchor="page" w:horzAnchor="margin" w:tblpX="-555" w:tblpY="1965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885"/>
        <w:tblGridChange w:id="0">
          <w:tblGrid>
            <w:gridCol w:w="3150"/>
            <w:gridCol w:w="6885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заходу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Школа вакцинації для молодшого спеціаліста. Календар щеплень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заходу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майстер-клас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Цільова аудиторія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Всі лікарські спеціальності, всі спеціальності молодших спеціалістів з медичною освітою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заходу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highlight w:val="white"/>
                <w:rtl w:val="0"/>
              </w:rPr>
              <w:t xml:space="preserve">Створення навчально-інформаційного заходу "Школа вакцинації для молодшого спеціаліста" з акцентом на розклад вакцинацій, щоб надати молодим спеціалістам повну і достовірну інформацію про необхідність та переваги вакцинації.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Перелік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компетентностей, що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набуваються або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вдосконалюються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(результати навчання)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Учасники отримують розуміння про різні види вакцин, їх склад, ефективність і безпеку.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Ознайомлення зі стратегією і часом проведення різних щеплень згідно з рекомендаціями офіційних медичних організацій.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обгрунтовано вирішувати, коли і які щеплення слід отримати з урахуванням індивідуальних факторів та ризиків.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Здатність пояснити важливість вакцинації і спілкуватися з пацієнтами або колегами щодо цієї теми.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Вміння користуватися інформаційними джерелами для оновлення знань про вакцинацію та щеплення.</w:t>
            </w:r>
          </w:p>
        </w:tc>
      </w:tr>
      <w:tr>
        <w:trPr>
          <w:cantSplit w:val="0"/>
          <w:trHeight w:val="521.95312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 структури заходу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 години лекції </w:t>
              <w:br w:type="textWrapping"/>
              <w:t xml:space="preserve">30 хвилин тестування</w:t>
            </w:r>
          </w:p>
        </w:tc>
      </w:tr>
      <w:tr>
        <w:trPr>
          <w:cantSplit w:val="0"/>
          <w:trHeight w:val="497.92968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Загальний обсяг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навчального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навантаження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години</w:t>
            </w:r>
          </w:p>
        </w:tc>
      </w:tr>
      <w:tr>
        <w:trPr>
          <w:cantSplit w:val="0"/>
          <w:trHeight w:val="521.9531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 організації та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заходу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</w:t>
            </w:r>
          </w:p>
        </w:tc>
      </w:tr>
      <w:tr>
        <w:trPr>
          <w:cantSplit w:val="0"/>
          <w:trHeight w:val="521.9531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 організації та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заходу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4"/>
                <w:szCs w:val="24"/>
                <w:highlight w:val="white"/>
                <w:rtl w:val="0"/>
              </w:rPr>
              <w:t xml:space="preserve">Спостереження, ситуаційний аналіз, аналітичний, практичний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.267515923566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Матеріально-технічне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забезпечення освітнього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заходу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21.95312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 підсумкового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контролю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тестування</w:t>
            </w:r>
          </w:p>
        </w:tc>
      </w:tr>
    </w:tbl>
    <w:p w:rsidR="00000000" w:rsidDel="00000000" w:rsidP="00000000" w:rsidRDefault="00000000" w:rsidRPr="00000000" w14:paraId="00000027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