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КАРТКА ЗАХОДУ</w:t>
      </w:r>
    </w:p>
    <w:p>
      <w:pPr>
        <w:pStyle w:val="Normal.0"/>
        <w:jc w:val="center"/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sz w:val="28"/>
          <w:szCs w:val="28"/>
          <w:rtl w:val="0"/>
          <w:lang w:val="en-US"/>
        </w:rPr>
        <w:t>(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майстер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клас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симуляційний тренінг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тренінг з оволодіння практичними навичками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тренінг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семінар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фахова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(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тематична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)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школа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БПР МЕДИЧНИХ</w:t>
      </w:r>
      <w:r>
        <w:rPr>
          <w:b w:val="1"/>
          <w:bCs w:val="1"/>
          <w:spacing w:val="1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>ТА</w:t>
      </w:r>
      <w:r>
        <w:rPr>
          <w:b w:val="1"/>
          <w:bCs w:val="1"/>
          <w:spacing w:val="1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>ФАРМАЦЕВТИЧНИХ</w:t>
      </w:r>
      <w:r>
        <w:rPr>
          <w:b w:val="1"/>
          <w:bCs w:val="1"/>
          <w:spacing w:val="1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>ПРАЦІВНИКІВ</w:t>
      </w:r>
    </w:p>
    <w:tbl>
      <w:tblPr>
        <w:tblW w:w="8639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964"/>
        <w:gridCol w:w="4675"/>
      </w:tblGrid>
      <w:tr>
        <w:tblPrEx>
          <w:shd w:val="clear" w:color="auto" w:fill="cdd4e9"/>
        </w:tblPrEx>
        <w:trPr>
          <w:trHeight w:val="424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1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Назва заходу БПР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Майстер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-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клас «УЗД в гінекології»</w:t>
            </w:r>
          </w:p>
        </w:tc>
      </w:tr>
      <w:tr>
        <w:tblPrEx>
          <w:shd w:val="clear" w:color="auto" w:fill="cdd4e9"/>
        </w:tblPrEx>
        <w:trPr>
          <w:trHeight w:val="1220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3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Назва Провайдера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з Єдиного державного реєстру юридичних осіб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фізичних осіб – підприємців та громадських формувань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Громадська організація «Міжнародна міждисциплінарна асоціація медичних професіоналів»</w:t>
            </w:r>
          </w:p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5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Співорганізатори заходу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Тренінгова платформа Медичного центру доктора Ніколаєва</w:t>
            </w:r>
          </w:p>
        </w:tc>
      </w:tr>
      <w:tr>
        <w:tblPrEx>
          <w:shd w:val="clear" w:color="auto" w:fill="cdd4e9"/>
        </w:tblPrEx>
        <w:trPr>
          <w:trHeight w:val="920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7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Цільова аудиторія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відповідно до Номенклатури лікарських спеціальностей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Акушерство і гінекологія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ультразвукова діагностика</w:t>
            </w:r>
          </w:p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9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Вид заходу БПР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Майстер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-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клас</w:t>
            </w:r>
          </w:p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11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Запланована кількість учасників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80</w:t>
            </w:r>
          </w:p>
        </w:tc>
      </w:tr>
      <w:tr>
        <w:tblPrEx>
          <w:shd w:val="clear" w:color="auto" w:fill="cdd4e9"/>
        </w:tblPrEx>
        <w:trPr>
          <w:trHeight w:val="1220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13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Мета навчання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Надати теоретичних і практичних навичок та поглибити знання з алгоритму проведення гінекологічного УЗД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-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обстеження</w:t>
            </w:r>
          </w:p>
        </w:tc>
      </w:tr>
      <w:tr>
        <w:tblPrEx>
          <w:shd w:val="clear" w:color="auto" w:fill="cdd4e9"/>
        </w:tblPrEx>
        <w:trPr>
          <w:trHeight w:val="1220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15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Метод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/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методи навчання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Надання навчального матеріалу у вигляді тематичних лекцій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демонстрація проведення техніки гінекологічного УЗД на моделях</w:t>
            </w:r>
          </w:p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17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Кількість балів БПР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10</w:t>
            </w:r>
          </w:p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19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Дата заходу БПР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18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листопада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2023</w:t>
            </w:r>
          </w:p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21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Місце проведення заходу БПР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повна адреса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м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Рівне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вул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Словацького</w:t>
            </w: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, 9</w:t>
            </w:r>
          </w:p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23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Прізвище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ім’я та по батькові лектора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тренера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numPr>
                <w:ilvl w:val="0"/>
                <w:numId w:val="24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Олена Миколаївна Сусідко</w:t>
            </w:r>
          </w:p>
        </w:tc>
      </w:tr>
      <w:tr>
        <w:tblPrEx>
          <w:shd w:val="clear" w:color="auto" w:fill="cdd4e9"/>
        </w:tblPrEx>
        <w:trPr>
          <w:trHeight w:val="1510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26"/>
              </w:numPr>
              <w:ind w:right="0"/>
              <w:jc w:val="left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Резюме лектора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тренера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numPr>
                <w:ilvl w:val="0"/>
                <w:numId w:val="27"/>
              </w:num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К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мед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.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н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.,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 xml:space="preserve">Генеральний директор </w:t>
            </w:r>
            <w:r>
              <w:rPr>
                <w:sz w:val="24"/>
                <w:szCs w:val="24"/>
                <w:shd w:val="nil" w:color="auto" w:fill="auto"/>
                <w:rtl w:val="0"/>
                <w:lang w:val="ru-RU"/>
              </w:rPr>
              <w:t>"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Медичний центр доктора Ніколаєва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",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директор Української філії Міжнародної школи з медичного ультразвуку ім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.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Яна Дональда</w:t>
            </w:r>
          </w:p>
        </w:tc>
      </w:tr>
      <w:tr>
        <w:tblPrEx>
          <w:shd w:val="clear" w:color="auto" w:fill="cdd4e9"/>
        </w:tblPrEx>
        <w:trPr>
          <w:trHeight w:val="10227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29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Програма заходу БПР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Стандартний"/>
              <w:spacing w:before="0" w:line="240" w:lineRule="auto"/>
              <w:rPr>
                <w:shd w:val="nil" w:color="auto" w:fill="auto"/>
              </w:rPr>
            </w:pPr>
            <w:r>
              <w:rPr>
                <w:sz w:val="20"/>
                <w:szCs w:val="20"/>
                <w:shd w:val="nil" w:color="auto" w:fill="auto"/>
                <w:rtl w:val="0"/>
              </w:rPr>
              <w:t>09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>:00 -11:30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Кнопкологія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 xml:space="preserve">.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Оптимізація роботи УЗД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>-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апарату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Ультразвукова картина нормальної анатомії внутрішніх жіночих статевих органів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Ультразвукова картина менструального циклу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 xml:space="preserve">Обстеження ендометрію згідно рекомендаціям 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>IETA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Як формувати висновок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 xml:space="preserve">.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Приклади шаблонів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Як коректно писати рекомендації у протоколі УЗД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 xml:space="preserve">.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Формування мислення лікаря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>-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діагноста</w:t>
            </w:r>
          </w:p>
          <w:p>
            <w:pPr>
              <w:pStyle w:val="Стандартний"/>
              <w:spacing w:before="0" w:line="240" w:lineRule="auto"/>
              <w:rPr>
                <w:shd w:val="nil" w:color="auto" w:fill="auto"/>
              </w:rPr>
            </w:pP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 xml:space="preserve">11:30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 xml:space="preserve">– 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>12:00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Перерва</w:t>
            </w:r>
          </w:p>
          <w:p>
            <w:pPr>
              <w:pStyle w:val="Стандартний"/>
              <w:spacing w:before="0" w:line="240" w:lineRule="auto"/>
              <w:rPr>
                <w:shd w:val="nil" w:color="auto" w:fill="auto"/>
              </w:rPr>
            </w:pP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 xml:space="preserve">12:00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 xml:space="preserve">– 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>14:00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Сучасна класифікація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 xml:space="preserve">,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 xml:space="preserve">яка потрібна для оформлення протоколу гінекологічного УЗД 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>(MUSA, IDEA, O-RADS, FIGO, IOTA)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Введення в доплерометрію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>, 3/4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Д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 xml:space="preserve">,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еластографію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 xml:space="preserve">.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Поняття мультипараметричного УЗД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Майстер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>-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клас з гінекологічного УЗД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>.</w:t>
            </w:r>
          </w:p>
          <w:p>
            <w:pPr>
              <w:pStyle w:val="Стандартний"/>
              <w:spacing w:before="0" w:line="240" w:lineRule="auto"/>
              <w:rPr>
                <w:shd w:val="nil" w:color="auto" w:fill="auto"/>
              </w:rPr>
            </w:pP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>14:00 -15:00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Перерва</w:t>
            </w:r>
          </w:p>
          <w:p>
            <w:pPr>
              <w:pStyle w:val="Стандартний"/>
              <w:spacing w:before="0" w:line="240" w:lineRule="auto"/>
              <w:rPr>
                <w:shd w:val="nil" w:color="auto" w:fill="auto"/>
              </w:rPr>
            </w:pP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rFonts w:ascii="PT Sans" w:cs="PT Sans" w:hAnsi="PT Sans" w:eastAsia="PT Sans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 xml:space="preserve">15:00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 xml:space="preserve">– 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>18:00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rFonts w:ascii="PT Sans" w:cs="PT Sans" w:hAnsi="PT Sans" w:eastAsia="PT Sans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Ультразвукове мультипараметричне гінекологічне дослідження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rFonts w:ascii="PT Sans" w:cs="PT Sans" w:hAnsi="PT Sans" w:eastAsia="PT Sans"/>
                <w:sz w:val="20"/>
                <w:szCs w:val="20"/>
                <w:shd w:val="clear" w:color="auto" w:fill="ffffff"/>
                <w:rtl w:val="0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 xml:space="preserve">Діагностична цінність перехідної зони 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  <w:lang w:val="en-US"/>
              </w:rPr>
              <w:t>(Junctional Zone)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z w:val="42"/>
                <w:szCs w:val="42"/>
                <w:shd w:val="nil" w:color="auto" w:fill="auto"/>
                <w:rtl w:val="0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 xml:space="preserve">- 3D-rendering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порожнини матки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 xml:space="preserve">.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 xml:space="preserve">Класифікації 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>(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європейська та американська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 xml:space="preserve">)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аномалії генітального тракту жінки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УЗД ретроцервікального ендометріозу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УЗД тазового дна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 xml:space="preserve">.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Діагностика пролапсів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shd w:val="nil" w:color="auto" w:fill="auto"/>
                <w:rtl w:val="0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Доплерометричні показники на допомогу репродуктологу</w:t>
            </w:r>
          </w:p>
          <w:p>
            <w:pPr>
              <w:pStyle w:val="Стандартний"/>
              <w:bidi w:val="0"/>
              <w:spacing w:before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  <w:lang w:val="ru-RU"/>
              </w:rPr>
              <w:t xml:space="preserve">- 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  <w:lang w:val="ru-RU"/>
              </w:rPr>
              <w:t>Синдром «Лускунчика» або аорто</w:t>
            </w:r>
            <w:r>
              <w:rPr>
                <w:rFonts w:ascii="PT Sans" w:hAnsi="PT Sans"/>
                <w:sz w:val="20"/>
                <w:szCs w:val="20"/>
                <w:shd w:val="clear" w:color="auto" w:fill="ffffff"/>
                <w:rtl w:val="0"/>
              </w:rPr>
              <w:t>-</w:t>
            </w:r>
            <w:r>
              <w:rPr>
                <w:rFonts w:ascii="PT Sans" w:hAnsi="PT Sans" w:hint="default"/>
                <w:sz w:val="20"/>
                <w:szCs w:val="20"/>
                <w:shd w:val="clear" w:color="auto" w:fill="ffffff"/>
                <w:rtl w:val="0"/>
              </w:rPr>
              <w:t>мезентеріальний пінцет</w:t>
            </w:r>
          </w:p>
        </w:tc>
      </w:tr>
      <w:tr>
        <w:tblPrEx>
          <w:shd w:val="clear" w:color="auto" w:fill="cdd4e9"/>
        </w:tblPrEx>
        <w:trPr>
          <w:trHeight w:val="1520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31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Опис вимог рівня знань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володіння темою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навичок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досвіду учасників до моменту реєстрації на даний захід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за потреби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721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33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Технічна підтримка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так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ні</w:t>
            </w:r>
            <w:r>
              <w:rPr>
                <w:sz w:val="24"/>
                <w:szCs w:val="24"/>
                <w:shd w:val="nil" w:color="auto" w:fill="auto"/>
                <w:rtl w:val="0"/>
                <w:lang w:val="zh-TW" w:eastAsia="zh-TW"/>
              </w:rPr>
              <w:t xml:space="preserve">?). 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У разі якщо під час проведення заходу БПР з оволодіння певними практичними навичками планується використання медичних виробів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які надані дистриб’ютором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Провайдер розміщує копію угоди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в якій зазначено шляхи недопущення виникнення потенційного конфлікту інтересів та заборону використання торгової назви медичного виробу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Ні</w:t>
            </w:r>
          </w:p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35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Методи оцінювання набутих знань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Тестування</w:t>
            </w:r>
          </w:p>
        </w:tc>
      </w:tr>
      <w:tr>
        <w:tblPrEx>
          <w:shd w:val="clear" w:color="auto" w:fill="cdd4e9"/>
        </w:tblPrEx>
        <w:trPr>
          <w:trHeight w:val="860" w:hRule="atLeast"/>
        </w:trPr>
        <w:tc>
          <w:tcPr>
            <w:tcW w:type="dxa" w:w="396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37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Код заходу БПР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Реєстраційний номер заходу БПР вноситься після присвоєння Адміністратором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ind w:left="216" w:hanging="216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ind w:left="108" w:hanging="108"/>
        <w:jc w:val="center"/>
        <w:rPr>
          <w:b w:val="1"/>
          <w:bCs w:val="1"/>
          <w:sz w:val="28"/>
          <w:szCs w:val="28"/>
        </w:rPr>
      </w:pPr>
    </w:p>
    <w:p>
      <w:pPr>
        <w:pStyle w:val="Normal.0"/>
        <w:jc w:val="center"/>
        <w:rPr>
          <w:b w:val="1"/>
          <w:bCs w:val="1"/>
          <w:sz w:val="28"/>
          <w:szCs w:val="28"/>
        </w:rPr>
      </w:pPr>
    </w:p>
    <w:p>
      <w:pPr>
        <w:pStyle w:val="Body Text"/>
        <w:ind w:left="4820" w:firstLine="0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column"/>
      </w:r>
    </w:p>
    <w:p>
      <w:pPr>
        <w:pStyle w:val="Body Text"/>
        <w:ind w:left="4820" w:firstLine="0"/>
      </w:pPr>
    </w:p>
    <w:p>
      <w:pPr>
        <w:pStyle w:val="Body Text"/>
        <w:ind w:left="4820" w:firstLine="0"/>
      </w:pPr>
    </w:p>
    <w:p>
      <w:pPr>
        <w:pStyle w:val="Body Text"/>
        <w:ind w:left="4820" w:firstLine="0"/>
      </w:pPr>
    </w:p>
    <w:p>
      <w:pPr>
        <w:pStyle w:val="Normal.0"/>
        <w:jc w:val="center"/>
        <w:rPr>
          <w:b w:val="1"/>
          <w:bCs w:val="1"/>
          <w:sz w:val="28"/>
          <w:szCs w:val="28"/>
        </w:rPr>
      </w:pPr>
    </w:p>
    <w:p>
      <w:pPr>
        <w:pStyle w:val="Body Text"/>
        <w:ind w:left="0" w:firstLine="0"/>
        <w:jc w:val="center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КАРТКА ЗАХОДУ</w:t>
      </w:r>
    </w:p>
    <w:p>
      <w:pPr>
        <w:pStyle w:val="Normal.0"/>
        <w:jc w:val="center"/>
        <w:rPr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sz w:val="28"/>
          <w:szCs w:val="28"/>
          <w:rtl w:val="0"/>
          <w:lang w:val="en-US"/>
        </w:rPr>
        <w:t>(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наукова конференція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науково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-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практична конференція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конгрес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з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'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їзд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</w:t>
      </w:r>
      <w:r>
        <w:rPr>
          <w:i w:val="1"/>
          <w:iCs w:val="1"/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симпозіум</w:t>
      </w:r>
      <w:r>
        <w:rPr>
          <w:outline w:val="0"/>
          <w:color w:val="000000"/>
          <w:sz w:val="28"/>
          <w:szCs w:val="28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)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БПР МЕДИЧНИХ</w:t>
      </w:r>
      <w:r>
        <w:rPr>
          <w:b w:val="1"/>
          <w:bCs w:val="1"/>
          <w:spacing w:val="1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>ТА</w:t>
      </w:r>
      <w:r>
        <w:rPr>
          <w:b w:val="1"/>
          <w:bCs w:val="1"/>
          <w:spacing w:val="1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>ФАРМАЦЕВТИЧНИХ</w:t>
      </w:r>
      <w:r>
        <w:rPr>
          <w:b w:val="1"/>
          <w:bCs w:val="1"/>
          <w:spacing w:val="1"/>
          <w:sz w:val="28"/>
          <w:szCs w:val="28"/>
          <w:rtl w:val="0"/>
          <w:lang w:val="en-US"/>
        </w:rPr>
        <w:t xml:space="preserve"> </w:t>
      </w:r>
      <w:r>
        <w:rPr>
          <w:b w:val="1"/>
          <w:bCs w:val="1"/>
          <w:sz w:val="28"/>
          <w:szCs w:val="28"/>
          <w:rtl w:val="0"/>
          <w:lang w:val="en-US"/>
        </w:rPr>
        <w:t>ПРАЦІВНИКІВ</w:t>
      </w:r>
    </w:p>
    <w:p>
      <w:pPr>
        <w:pStyle w:val="Normal.0"/>
        <w:jc w:val="center"/>
        <w:rPr>
          <w:b w:val="1"/>
          <w:bCs w:val="1"/>
          <w:sz w:val="28"/>
          <w:szCs w:val="28"/>
        </w:rPr>
      </w:pPr>
    </w:p>
    <w:tbl>
      <w:tblPr>
        <w:tblW w:w="8781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106"/>
        <w:gridCol w:w="4675"/>
      </w:tblGrid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38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Назва заходу БПР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2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40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Назва Провайдера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з Єдиного державного реєстру юридичних осіб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фізичних осіб – підприємців та громадських формувань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42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Виконавець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/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виконавці заходу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9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44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Цільова аудиторія 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відповідно до Номенклатури лікарських спеціальностей</w:t>
            </w: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46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Вид заходу БПР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48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Запланована кількість учасників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50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Організаційний комітет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52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Резолюція заходу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54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Мета заходу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56"/>
              </w:numPr>
              <w:ind w:right="0"/>
              <w:jc w:val="left"/>
              <w:rPr>
                <w:b w:val="1"/>
                <w:bCs w:val="1"/>
                <w:sz w:val="24"/>
                <w:szCs w:val="24"/>
                <w:lang w:val="en-US"/>
              </w:rPr>
            </w:pPr>
            <w:r>
              <w:rPr>
                <w:b w:val="0"/>
                <w:bCs w:val="0"/>
                <w:sz w:val="24"/>
                <w:szCs w:val="24"/>
                <w:shd w:val="nil" w:color="auto" w:fill="auto"/>
                <w:rtl w:val="0"/>
                <w:lang w:val="en-US"/>
              </w:rPr>
              <w:t>Форма заходу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58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Кількість балів БПР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60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Дата заходу БПР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62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Місце проведення заходу БПР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повна адреса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6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64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Прізвище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ім’я та по батькові доповідачів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66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Резюме доповідачів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3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68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Програма заходу БПР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122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70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Опис вимог рівня знань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володіння темою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навичок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,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досвіду учасників до моменту реєстрації на даний захід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за потреби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860" w:hRule="atLeast"/>
        </w:trPr>
        <w:tc>
          <w:tcPr>
            <w:tcW w:type="dxa" w:w="4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ist Paragraph"/>
              <w:widowControl w:val="1"/>
              <w:numPr>
                <w:ilvl w:val="0"/>
                <w:numId w:val="72"/>
              </w:numPr>
              <w:ind w:right="0"/>
              <w:jc w:val="left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 xml:space="preserve">Код заходу БПР 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(</w:t>
            </w:r>
            <w:r>
              <w:rPr>
                <w:i w:val="1"/>
                <w:iCs w:val="1"/>
                <w:sz w:val="22"/>
                <w:szCs w:val="22"/>
                <w:shd w:val="nil" w:color="auto" w:fill="auto"/>
                <w:rtl w:val="0"/>
                <w:lang w:val="en-US"/>
              </w:rPr>
              <w:t>Реєстраційний номер заходу БПР вноситься після присвоєння Адміністратором</w:t>
            </w:r>
            <w:r>
              <w:rPr>
                <w:sz w:val="24"/>
                <w:szCs w:val="24"/>
                <w:shd w:val="nil" w:color="auto" w:fill="auto"/>
                <w:rtl w:val="0"/>
                <w:lang w:val="en-US"/>
              </w:rPr>
              <w:t>)</w:t>
            </w:r>
          </w:p>
        </w:tc>
        <w:tc>
          <w:tcPr>
            <w:tcW w:type="dxa" w:w="46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ind w:left="216" w:hanging="216"/>
        <w:jc w:val="center"/>
      </w:pPr>
      <w:r>
        <w:rPr>
          <w:b w:val="1"/>
          <w:bCs w:val="1"/>
          <w:sz w:val="28"/>
          <w:szCs w:val="28"/>
        </w:rPr>
      </w:r>
    </w:p>
    <w:sectPr>
      <w:headerReference w:type="default" r:id="rId4"/>
      <w:footerReference w:type="default" r:id="rId5"/>
      <w:pgSz w:w="11920" w:h="16840" w:orient="portrait"/>
      <w:pgMar w:top="1134" w:right="850" w:bottom="1134" w:left="1701" w:header="0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PT San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9349"/>
        <w:tab w:val="clear" w:pos="9355"/>
      </w:tabs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/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и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decimal"/>
      <w:suff w:val="tab"/>
      <w:lvlText w:val="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decimal"/>
      <w:suff w:val="tab"/>
      <w:lvlText w:val="%1)"/>
      <w:lvlJc w:val="left"/>
      <w:pPr>
        <w:ind w:left="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1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2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3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4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5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6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7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8289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>
    <w:multiLevelType w:val="hybridMultilevel"/>
    <w:lvl w:ilvl="0">
      <w:start w:val="1"/>
      <w:numFmt w:val="decimal"/>
      <w:suff w:val="tab"/>
      <w:lvlText w:val="%1."/>
      <w:lvlJc w:val="left"/>
      <w:pPr>
        <w:ind w:left="30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0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74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46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18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390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62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346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066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3"/>
    <w:lvlOverride w:ilvl="0">
      <w:startOverride w:val="4"/>
    </w:lvlOverride>
  </w:num>
  <w:num w:numId="8">
    <w:abstractNumId w:val="4"/>
  </w:num>
  <w:num w:numId="9">
    <w:abstractNumId w:val="4"/>
    <w:lvlOverride w:ilvl="0">
      <w:startOverride w:val="5"/>
    </w:lvlOverride>
  </w:num>
  <w:num w:numId="10">
    <w:abstractNumId w:val="5"/>
  </w:num>
  <w:num w:numId="11">
    <w:abstractNumId w:val="5"/>
    <w:lvlOverride w:ilvl="0">
      <w:startOverride w:val="6"/>
    </w:lvlOverride>
  </w:num>
  <w:num w:numId="12">
    <w:abstractNumId w:val="6"/>
  </w:num>
  <w:num w:numId="13">
    <w:abstractNumId w:val="6"/>
    <w:lvlOverride w:ilvl="0">
      <w:startOverride w:val="7"/>
    </w:lvlOverride>
  </w:num>
  <w:num w:numId="14">
    <w:abstractNumId w:val="7"/>
  </w:num>
  <w:num w:numId="15">
    <w:abstractNumId w:val="7"/>
    <w:lvlOverride w:ilvl="0">
      <w:startOverride w:val="8"/>
    </w:lvlOverride>
  </w:num>
  <w:num w:numId="16">
    <w:abstractNumId w:val="8"/>
  </w:num>
  <w:num w:numId="17">
    <w:abstractNumId w:val="8"/>
    <w:lvlOverride w:ilvl="0">
      <w:startOverride w:val="9"/>
    </w:lvlOverride>
  </w:num>
  <w:num w:numId="18">
    <w:abstractNumId w:val="9"/>
  </w:num>
  <w:num w:numId="19">
    <w:abstractNumId w:val="9"/>
    <w:lvlOverride w:ilvl="0">
      <w:startOverride w:val="10"/>
    </w:lvlOverride>
  </w:num>
  <w:num w:numId="20">
    <w:abstractNumId w:val="10"/>
  </w:num>
  <w:num w:numId="21">
    <w:abstractNumId w:val="10"/>
    <w:lvlOverride w:ilvl="0">
      <w:startOverride w:val="11"/>
    </w:lvlOverride>
  </w:num>
  <w:num w:numId="22">
    <w:abstractNumId w:val="11"/>
  </w:num>
  <w:num w:numId="23">
    <w:abstractNumId w:val="11"/>
    <w:lvlOverride w:ilvl="0">
      <w:startOverride w:val="12"/>
    </w:lvlOverride>
  </w:num>
  <w:num w:numId="24">
    <w:abstractNumId w:val="12"/>
  </w:num>
  <w:num w:numId="25">
    <w:abstractNumId w:val="13"/>
  </w:num>
  <w:num w:numId="26">
    <w:abstractNumId w:val="13"/>
    <w:lvlOverride w:ilvl="0">
      <w:startOverride w:val="13"/>
    </w:lvlOverride>
  </w:num>
  <w:num w:numId="27">
    <w:abstractNumId w:val="14"/>
  </w:num>
  <w:num w:numId="28">
    <w:abstractNumId w:val="15"/>
  </w:num>
  <w:num w:numId="29">
    <w:abstractNumId w:val="15"/>
    <w:lvlOverride w:ilvl="0">
      <w:startOverride w:val="14"/>
    </w:lvlOverride>
  </w:num>
  <w:num w:numId="30">
    <w:abstractNumId w:val="16"/>
  </w:num>
  <w:num w:numId="31">
    <w:abstractNumId w:val="16"/>
    <w:lvlOverride w:ilvl="0">
      <w:startOverride w:val="15"/>
    </w:lvlOverride>
  </w:num>
  <w:num w:numId="32">
    <w:abstractNumId w:val="17"/>
  </w:num>
  <w:num w:numId="33">
    <w:abstractNumId w:val="17"/>
    <w:lvlOverride w:ilvl="0">
      <w:startOverride w:val="16"/>
    </w:lvlOverride>
  </w:num>
  <w:num w:numId="34">
    <w:abstractNumId w:val="18"/>
  </w:num>
  <w:num w:numId="35">
    <w:abstractNumId w:val="18"/>
    <w:lvlOverride w:ilvl="0">
      <w:startOverride w:val="17"/>
    </w:lvlOverride>
  </w:num>
  <w:num w:numId="36">
    <w:abstractNumId w:val="19"/>
  </w:num>
  <w:num w:numId="37">
    <w:abstractNumId w:val="19"/>
    <w:lvlOverride w:ilvl="0">
      <w:startOverride w:val="18"/>
    </w:lvlOverride>
  </w:num>
  <w:num w:numId="38">
    <w:abstractNumId w:val="20"/>
  </w:num>
  <w:num w:numId="39">
    <w:abstractNumId w:val="21"/>
  </w:num>
  <w:num w:numId="40">
    <w:abstractNumId w:val="21"/>
    <w:lvlOverride w:ilvl="0">
      <w:startOverride w:val="2"/>
    </w:lvlOverride>
  </w:num>
  <w:num w:numId="41">
    <w:abstractNumId w:val="22"/>
  </w:num>
  <w:num w:numId="42">
    <w:abstractNumId w:val="22"/>
    <w:lvlOverride w:ilvl="0">
      <w:startOverride w:val="3"/>
    </w:lvlOverride>
  </w:num>
  <w:num w:numId="43">
    <w:abstractNumId w:val="23"/>
  </w:num>
  <w:num w:numId="44">
    <w:abstractNumId w:val="23"/>
    <w:lvlOverride w:ilvl="0">
      <w:startOverride w:val="4"/>
    </w:lvlOverride>
  </w:num>
  <w:num w:numId="45">
    <w:abstractNumId w:val="24"/>
  </w:num>
  <w:num w:numId="46">
    <w:abstractNumId w:val="24"/>
    <w:lvlOverride w:ilvl="0">
      <w:startOverride w:val="5"/>
    </w:lvlOverride>
  </w:num>
  <w:num w:numId="47">
    <w:abstractNumId w:val="25"/>
  </w:num>
  <w:num w:numId="48">
    <w:abstractNumId w:val="25"/>
    <w:lvlOverride w:ilvl="0">
      <w:startOverride w:val="6"/>
    </w:lvlOverride>
  </w:num>
  <w:num w:numId="49">
    <w:abstractNumId w:val="26"/>
  </w:num>
  <w:num w:numId="50">
    <w:abstractNumId w:val="26"/>
    <w:lvlOverride w:ilvl="0">
      <w:startOverride w:val="7"/>
    </w:lvlOverride>
  </w:num>
  <w:num w:numId="51">
    <w:abstractNumId w:val="27"/>
  </w:num>
  <w:num w:numId="52">
    <w:abstractNumId w:val="27"/>
    <w:lvlOverride w:ilvl="0">
      <w:startOverride w:val="8"/>
    </w:lvlOverride>
  </w:num>
  <w:num w:numId="53">
    <w:abstractNumId w:val="28"/>
  </w:num>
  <w:num w:numId="54">
    <w:abstractNumId w:val="28"/>
    <w:lvlOverride w:ilvl="0">
      <w:startOverride w:val="9"/>
    </w:lvlOverride>
  </w:num>
  <w:num w:numId="55">
    <w:abstractNumId w:val="29"/>
  </w:num>
  <w:num w:numId="56">
    <w:abstractNumId w:val="29"/>
    <w:lvlOverride w:ilvl="0">
      <w:startOverride w:val="10"/>
    </w:lvlOverride>
  </w:num>
  <w:num w:numId="57">
    <w:abstractNumId w:val="30"/>
  </w:num>
  <w:num w:numId="58">
    <w:abstractNumId w:val="30"/>
    <w:lvlOverride w:ilvl="0">
      <w:startOverride w:val="11"/>
    </w:lvlOverride>
  </w:num>
  <w:num w:numId="59">
    <w:abstractNumId w:val="31"/>
  </w:num>
  <w:num w:numId="60">
    <w:abstractNumId w:val="31"/>
    <w:lvlOverride w:ilvl="0">
      <w:startOverride w:val="12"/>
    </w:lvlOverride>
  </w:num>
  <w:num w:numId="61">
    <w:abstractNumId w:val="32"/>
  </w:num>
  <w:num w:numId="62">
    <w:abstractNumId w:val="32"/>
    <w:lvlOverride w:ilvl="0">
      <w:startOverride w:val="13"/>
    </w:lvlOverride>
  </w:num>
  <w:num w:numId="63">
    <w:abstractNumId w:val="33"/>
  </w:num>
  <w:num w:numId="64">
    <w:abstractNumId w:val="33"/>
    <w:lvlOverride w:ilvl="0">
      <w:startOverride w:val="14"/>
    </w:lvlOverride>
  </w:num>
  <w:num w:numId="65">
    <w:abstractNumId w:val="34"/>
  </w:num>
  <w:num w:numId="66">
    <w:abstractNumId w:val="34"/>
    <w:lvlOverride w:ilvl="0">
      <w:startOverride w:val="15"/>
    </w:lvlOverride>
  </w:num>
  <w:num w:numId="67">
    <w:abstractNumId w:val="35"/>
  </w:num>
  <w:num w:numId="68">
    <w:abstractNumId w:val="35"/>
    <w:lvlOverride w:ilvl="0">
      <w:startOverride w:val="16"/>
    </w:lvlOverride>
  </w:num>
  <w:num w:numId="69">
    <w:abstractNumId w:val="36"/>
  </w:num>
  <w:num w:numId="70">
    <w:abstractNumId w:val="36"/>
    <w:lvlOverride w:ilvl="0">
      <w:startOverride w:val="17"/>
    </w:lvlOverride>
  </w:num>
  <w:num w:numId="71">
    <w:abstractNumId w:val="37"/>
  </w:num>
  <w:num w:numId="72">
    <w:abstractNumId w:val="37"/>
    <w:lvlOverride w:ilvl="0">
      <w:startOverride w:val="18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українська" w:val="‘“(〔[{〈《「『【⦅〘〖«〝︵︷︹︻︽︿﹁﹃﹇﹙﹛﹝｢"/>
  <w:noLineBreaksBefore w:lang="українська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и">
    <w:name w:val="Колонтитули"/>
    <w:next w:val="Колонтитули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footer">
    <w:name w:val="footer"/>
    <w:next w:val="footer"/>
    <w:pPr>
      <w:keepNext w:val="0"/>
      <w:keepLines w:val="0"/>
      <w:pageBreakBefore w:val="0"/>
      <w:widowControl w:val="0"/>
      <w:shd w:val="clear" w:color="auto" w:fill="auto"/>
      <w:tabs>
        <w:tab w:val="center" w:pos="4677"/>
        <w:tab w:val="right" w:pos="9355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61" w:right="406" w:firstLine="708"/>
      <w:jc w:val="both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Стандартний">
    <w:name w:val="Стандартний"/>
    <w:next w:val="Стандартний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161" w:right="0" w:firstLine="0"/>
      <w:jc w:val="both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8"/>
      <w:szCs w:val="28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