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науково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практична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конгрес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'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їзд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симпозіум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925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06"/>
        <w:gridCol w:w="5150"/>
      </w:tblGrid>
      <w:tr>
        <w:tblPrEx>
          <w:shd w:val="clear" w:color="auto" w:fill="cdd4e9"/>
        </w:tblPrEx>
        <w:trPr>
          <w:trHeight w:val="1271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Науков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практична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конфереція «Ультразвукова діагностика плода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Від І триместра до народження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outline w:val="0"/>
                <w:color w:val="5b5c70"/>
                <w:sz w:val="57"/>
                <w:szCs w:val="57"/>
                <w:u w:color="5b5c70"/>
                <w:shd w:val="nil" w:color="auto" w:fill="auto"/>
                <w:rtl w:val="0"/>
                <w:lang w:val="ru-RU"/>
                <w14:textFill>
                  <w14:solidFill>
                    <w14:srgbClr w14:val="5B5C70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ІІІ триместр»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Виконавець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виконавці заходу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Науково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практична конференція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5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Організаційний комітет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04xlpa"/>
              <w:spacing w:line="300" w:lineRule="atLeast"/>
              <w:rPr>
                <w:shd w:val="nil" w:color="auto" w:fill="auto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Бондаренко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Анастасія</w:t>
            </w:r>
            <w:r>
              <w:rPr>
                <w:shd w:val="nil" w:color="auto" w:fill="auto"/>
                <w:rtl w:val="0"/>
                <w:lang w:val="ru-RU"/>
              </w:rPr>
              <w:t xml:space="preserve"> – президент ММАМП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н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>професор кафедри дитячих інфекційних хвороб та дитячої імунології НУОЗ України імені 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Шупика</w:t>
            </w:r>
          </w:p>
          <w:p>
            <w:pPr>
              <w:pStyle w:val="_04xlpa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Гільфанова Анна</w:t>
            </w:r>
            <w:r>
              <w:rPr>
                <w:shd w:val="nil" w:color="auto" w:fill="auto"/>
                <w:rtl w:val="0"/>
                <w:lang w:val="ru-RU"/>
              </w:rPr>
              <w:t xml:space="preserve"> – віце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президент ММАМП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н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>асистент кафедри дитячих інфекційних хвороб та дитячої імунології НУОЗ України імені 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Шупика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Резолюція заходу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заходу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Надати лікарям теоретичних знань в області акушерства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гінекології та УЗ</w:t>
            </w:r>
            <w:r>
              <w:rPr>
                <w:shd w:val="nil" w:color="auto" w:fill="auto"/>
                <w:rtl w:val="0"/>
                <w:lang w:val="en-US"/>
              </w:rPr>
              <w:t>-</w:t>
            </w:r>
            <w:r>
              <w:rPr>
                <w:shd w:val="nil" w:color="auto" w:fill="auto"/>
                <w:rtl w:val="0"/>
                <w:lang w:val="en-US"/>
              </w:rPr>
              <w:t>діагностики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Форма заходу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rFonts w:ascii="Arial" w:hAnsi="Arial" w:hint="default"/>
                <w:outline w:val="0"/>
                <w:color w:val="202124"/>
                <w:spacing w:val="3"/>
                <w:sz w:val="21"/>
                <w:szCs w:val="21"/>
                <w:u w:color="202124"/>
                <w:shd w:val="clear" w:color="auto" w:fill="ffffff"/>
                <w:rtl w:val="0"/>
                <w:lang w:val="ru-RU"/>
                <w14:textFill>
                  <w14:solidFill>
                    <w14:srgbClr w14:val="202124"/>
                  </w14:solidFill>
                </w14:textFill>
              </w:rPr>
              <w:t>дистанційна участь у режимі реального часу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.09.2022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online</w:t>
            </w:r>
          </w:p>
        </w:tc>
      </w:tr>
      <w:tr>
        <w:tblPrEx>
          <w:shd w:val="clear" w:color="auto" w:fill="cdd4e9"/>
        </w:tblPrEx>
        <w:trPr>
          <w:trHeight w:val="2243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доповідачів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Маргарита Ніколенко</w:t>
            </w: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Олена Костюк</w:t>
            </w: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Олександр Краснов</w:t>
            </w: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Ганна Гребініченко</w:t>
            </w: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Олексій Соловйов</w:t>
            </w:r>
          </w:p>
          <w:p>
            <w:pPr>
              <w:pStyle w:val="Normal.0"/>
              <w:bidi w:val="0"/>
              <w:ind w:left="36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6) Liesbeth Lewi</w:t>
            </w:r>
          </w:p>
        </w:tc>
      </w:tr>
      <w:tr>
        <w:tblPrEx>
          <w:shd w:val="clear" w:color="auto" w:fill="cdd4e9"/>
        </w:tblPrEx>
        <w:trPr>
          <w:trHeight w:val="5513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Резюме доповідачів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директор МБЦ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Геном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",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викладач кафедри акушерства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гінекології та перинатології НУОЗ України ім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Шупика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Україна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лікар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неонатолог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експерка з грудного вигодовування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доцент кафедри неонатології НУОЗ України ім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Шупика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Україна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головний лікар МБЦ «Геном»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лікар УЗД</w:t>
            </w:r>
          </w:p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старший науковий співробітник відділення медицини плода «Інститут педіатрії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акушерства та гінекології ім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академіка О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Лук’янової» НАМН України</w:t>
            </w:r>
          </w:p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6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фахівець із материнсько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плодової медицини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завідувач відділення медицини плода у Клініці репродуктивної медицини «Надія»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співзасновник та керівник «Фонд Медицини Плода Україна»</w:t>
            </w:r>
          </w:p>
          <w:p>
            <w:pPr>
              <w:pStyle w:val="Normal.0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6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Професор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відділення акушерства та гінекології Університетської клініки 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Льовен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Бельгія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"https://www.iiamp.org/event-details/ultrasound-diagnostics-iii-trimester"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https://www.iiamp.org/event-details/ultrasound-diagnostics-iii-trimester</w:t>
            </w:r>
            <w:r>
              <w:rPr/>
              <w:fldChar w:fldCharType="end" w:fldLock="0"/>
            </w:r>
            <w:r>
              <w:rPr>
                <w:rStyle w:val="Немає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center"/>
            </w:pPr>
            <w:r>
              <w:rPr>
                <w:rStyle w:val="Немає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має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rStyle w:val="Немає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6" w:hanging="216"/>
        <w:jc w:val="center"/>
        <w:rPr>
          <w:rStyle w:val="Немає"/>
          <w:b w:val="1"/>
          <w:bCs w:val="1"/>
          <w:sz w:val="28"/>
          <w:szCs w:val="28"/>
        </w:rPr>
      </w:pPr>
    </w:p>
    <w:p>
      <w:pPr>
        <w:pStyle w:val="Normal.0"/>
        <w:ind w:left="108" w:hanging="108"/>
        <w:jc w:val="center"/>
      </w:pPr>
      <w:r>
        <w:rPr>
          <w:rStyle w:val="Немає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4"/>
    <w:lvlOverride w:ilvl="0">
      <w:startOverride w:val="15"/>
    </w:lvlOverride>
  </w:num>
  <w:num w:numId="30">
    <w:abstractNumId w:val="15"/>
  </w:num>
  <w:num w:numId="31">
    <w:abstractNumId w:val="15"/>
    <w:lvlOverride w:ilvl="0">
      <w:startOverride w:val="16"/>
    </w:lvlOverride>
  </w:num>
  <w:num w:numId="32">
    <w:abstractNumId w:val="16"/>
  </w:num>
  <w:num w:numId="33">
    <w:abstractNumId w:val="16"/>
    <w:lvlOverride w:ilvl="0">
      <w:startOverride w:val="17"/>
    </w:lvlOverride>
  </w:num>
  <w:num w:numId="34">
    <w:abstractNumId w:val="17"/>
  </w:num>
  <w:num w:numId="35">
    <w:abstractNumId w:val="1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_04xlpa">
    <w:name w:val="_04xlpa"/>
    <w:next w:val="_04xlp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