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КАРТКА ЗАХОДУ</w:t>
      </w:r>
    </w:p>
    <w:p>
      <w:pPr>
        <w:pStyle w:val="Normal.0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sz w:val="28"/>
          <w:szCs w:val="28"/>
          <w:rtl w:val="0"/>
          <w:lang w:val="en-US"/>
        </w:rPr>
        <w:t>(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майстер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клас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симуляційний тренінг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тренінг з оволодіння практичними навичками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тренінг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семінар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фахова 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тематична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 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школа</w:t>
      </w: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БПР МЕДИЧНИХ</w:t>
      </w:r>
      <w:r>
        <w:rPr>
          <w:b w:val="1"/>
          <w:bCs w:val="1"/>
          <w:spacing w:val="1"/>
          <w:sz w:val="28"/>
          <w:szCs w:val="28"/>
          <w:rtl w:val="0"/>
          <w:lang w:val="en-US"/>
        </w:rPr>
        <w:t xml:space="preserve"> </w:t>
      </w:r>
      <w:r>
        <w:rPr>
          <w:b w:val="1"/>
          <w:bCs w:val="1"/>
          <w:sz w:val="28"/>
          <w:szCs w:val="28"/>
          <w:rtl w:val="0"/>
          <w:lang w:val="en-US"/>
        </w:rPr>
        <w:t>ТА</w:t>
      </w:r>
      <w:r>
        <w:rPr>
          <w:b w:val="1"/>
          <w:bCs w:val="1"/>
          <w:spacing w:val="1"/>
          <w:sz w:val="28"/>
          <w:szCs w:val="28"/>
          <w:rtl w:val="0"/>
          <w:lang w:val="en-US"/>
        </w:rPr>
        <w:t xml:space="preserve"> </w:t>
      </w:r>
      <w:r>
        <w:rPr>
          <w:b w:val="1"/>
          <w:bCs w:val="1"/>
          <w:sz w:val="28"/>
          <w:szCs w:val="28"/>
          <w:rtl w:val="0"/>
          <w:lang w:val="en-US"/>
        </w:rPr>
        <w:t>ФАРМАЦЕВТИЧНИХ</w:t>
      </w:r>
      <w:r>
        <w:rPr>
          <w:b w:val="1"/>
          <w:bCs w:val="1"/>
          <w:spacing w:val="1"/>
          <w:sz w:val="28"/>
          <w:szCs w:val="28"/>
          <w:rtl w:val="0"/>
          <w:lang w:val="en-US"/>
        </w:rPr>
        <w:t xml:space="preserve"> </w:t>
      </w:r>
      <w:r>
        <w:rPr>
          <w:b w:val="1"/>
          <w:bCs w:val="1"/>
          <w:sz w:val="28"/>
          <w:szCs w:val="28"/>
          <w:rtl w:val="0"/>
          <w:lang w:val="en-US"/>
        </w:rPr>
        <w:t>ПРАЦІВНИКІВ</w:t>
      </w:r>
    </w:p>
    <w:tbl>
      <w:tblPr>
        <w:tblW w:w="9781" w:type="dxa"/>
        <w:jc w:val="center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78"/>
        <w:gridCol w:w="5103"/>
      </w:tblGrid>
      <w:tr>
        <w:tblPrEx>
          <w:shd w:val="clear" w:color="auto" w:fill="cdd4e9"/>
        </w:tblPrEx>
        <w:trPr>
          <w:trHeight w:val="1300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1"/>
              </w:numPr>
              <w:ind w:right="0"/>
              <w:jc w:val="left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Назва заходу БПР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Тренінг «Пренатальна ультразвукова діагностика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Допплерометрія в акушерстві»</w:t>
            </w:r>
          </w:p>
        </w:tc>
      </w:tr>
      <w:tr>
        <w:tblPrEx>
          <w:shd w:val="clear" w:color="auto" w:fill="cdd4e9"/>
        </w:tblPrEx>
        <w:trPr>
          <w:trHeight w:val="1240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3"/>
              </w:numPr>
              <w:ind w:right="0"/>
              <w:jc w:val="left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Назва Провайдера 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(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з Єдиного державного реєстру юридичних осіб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фізичних осіб – підприємців та громадських формувань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ГО «Міжнародна міждисциплінарна асоціація медичних професіоналів»</w:t>
            </w:r>
          </w:p>
        </w:tc>
      </w:tr>
      <w:tr>
        <w:tblPrEx>
          <w:shd w:val="clear" w:color="auto" w:fill="cdd4e9"/>
        </w:tblPrEx>
        <w:trPr>
          <w:trHeight w:val="930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5"/>
              </w:numPr>
              <w:ind w:right="0"/>
              <w:jc w:val="left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Співорганізатори заходу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Тренінгова платформа Медичного центру доктора Ніколаєва</w:t>
            </w:r>
          </w:p>
        </w:tc>
      </w:tr>
      <w:tr>
        <w:tblPrEx>
          <w:shd w:val="clear" w:color="auto" w:fill="cdd4e9"/>
        </w:tblPrEx>
        <w:trPr>
          <w:trHeight w:val="940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7"/>
              </w:numPr>
              <w:ind w:right="0"/>
              <w:jc w:val="left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Цільова аудиторія 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(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відповідно до Номенклатури лікарських спеціальностей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Акушерство і гінекологія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ультразвукова діагностика</w:t>
            </w:r>
          </w:p>
        </w:tc>
      </w:tr>
      <w:tr>
        <w:tblPrEx>
          <w:shd w:val="clear" w:color="auto" w:fill="cdd4e9"/>
        </w:tblPrEx>
        <w:trPr>
          <w:trHeight w:val="340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9"/>
              </w:numPr>
              <w:ind w:right="0"/>
              <w:jc w:val="left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Вид заходу БПР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Тренінг з оволодіння практичними навичками</w:t>
            </w:r>
          </w:p>
        </w:tc>
      </w:tr>
      <w:tr>
        <w:tblPrEx>
          <w:shd w:val="clear" w:color="auto" w:fill="cdd4e9"/>
        </w:tblPrEx>
        <w:trPr>
          <w:trHeight w:val="340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11"/>
              </w:numPr>
              <w:ind w:right="0"/>
              <w:jc w:val="left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Запланована кількість учасників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12</w:t>
            </w:r>
          </w:p>
        </w:tc>
      </w:tr>
      <w:tr>
        <w:tblPrEx>
          <w:shd w:val="clear" w:color="auto" w:fill="cdd4e9"/>
        </w:tblPrEx>
        <w:trPr>
          <w:trHeight w:val="1830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13"/>
              </w:numPr>
              <w:ind w:right="0"/>
              <w:jc w:val="left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Мета навчання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Надати теоретичних і практичних навичок із проведення допплерометрії в акушерстві</w:t>
            </w:r>
          </w:p>
        </w:tc>
      </w:tr>
      <w:tr>
        <w:tblPrEx>
          <w:shd w:val="clear" w:color="auto" w:fill="cdd4e9"/>
        </w:tblPrEx>
        <w:trPr>
          <w:trHeight w:val="1510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15"/>
              </w:numPr>
              <w:ind w:right="0"/>
              <w:jc w:val="left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Метод 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/ 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методи навчання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Надання навчального матеріалу у вигляді тематичних лекцій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демонстрація проведення техніки УЗД та допплерометрії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відпрацювання учасниками проведення допплерометрії на пацієнтках під керівництвом керівника тренінгу</w:t>
            </w:r>
          </w:p>
        </w:tc>
      </w:tr>
      <w:tr>
        <w:tblPrEx>
          <w:shd w:val="clear" w:color="auto" w:fill="cdd4e9"/>
        </w:tblPrEx>
        <w:trPr>
          <w:trHeight w:val="340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17"/>
              </w:numPr>
              <w:ind w:righ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Кількість балів БПР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25</w:t>
            </w:r>
          </w:p>
        </w:tc>
      </w:tr>
      <w:tr>
        <w:tblPrEx>
          <w:shd w:val="clear" w:color="auto" w:fill="cdd4e9"/>
        </w:tblPrEx>
        <w:trPr>
          <w:trHeight w:val="340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19"/>
              </w:numPr>
              <w:ind w:righ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Дата заходу БПР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3-7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жовтня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2022</w:t>
            </w:r>
          </w:p>
        </w:tc>
      </w:tr>
      <w:tr>
        <w:tblPrEx>
          <w:shd w:val="clear" w:color="auto" w:fill="cdd4e9"/>
        </w:tblPrEx>
        <w:trPr>
          <w:trHeight w:val="930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21"/>
              </w:numPr>
              <w:ind w:righ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Місце проведення заходу БПР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(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повна адреса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"/>
              <w:spacing w:before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pt-PT"/>
              </w:rPr>
              <w:t>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pt-PT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pt-PT"/>
              </w:rPr>
              <w:t>Дніпро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pt-PT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pt-PT"/>
              </w:rPr>
              <w:t>вул</w:t>
            </w:r>
            <w:r>
              <w:rPr>
                <w:rFonts w:ascii="Times New Roman" w:hAnsi="Times New Roman"/>
                <w:shd w:val="nil" w:color="auto" w:fill="auto"/>
                <w:rtl w:val="0"/>
                <w:lang w:val="pt-PT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pt-PT"/>
              </w:rPr>
              <w:t>Богдана Хмельн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pt-PT"/>
              </w:rPr>
              <w:t>и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pt-PT"/>
              </w:rPr>
              <w:t>цького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pt-PT"/>
              </w:rPr>
              <w:t xml:space="preserve">, 16,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pt-PT"/>
              </w:rPr>
              <w:t>«Медичний центр лікаря Ніколаєва»</w:t>
            </w:r>
          </w:p>
        </w:tc>
      </w:tr>
      <w:tr>
        <w:tblPrEx>
          <w:shd w:val="clear" w:color="auto" w:fill="cdd4e9"/>
        </w:tblPrEx>
        <w:trPr>
          <w:trHeight w:val="640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23"/>
              </w:numPr>
              <w:ind w:righ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Прізвище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ім’я та по батькові лектора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/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тренера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</w:rPr>
              <w:t xml:space="preserve">1)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Олена Миколаївна Сусідко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, 2)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Микола Іванович Ніколаєв</w:t>
            </w:r>
          </w:p>
        </w:tc>
      </w:tr>
      <w:tr>
        <w:tblPrEx>
          <w:shd w:val="clear" w:color="auto" w:fill="cdd4e9"/>
        </w:tblPrEx>
        <w:trPr>
          <w:trHeight w:val="1240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25"/>
              </w:numPr>
              <w:ind w:righ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Резюме лектора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/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тренера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</w:rPr>
              <w:t xml:space="preserve">1) </w:t>
            </w:r>
            <w:r>
              <w:rPr>
                <w:sz w:val="24"/>
                <w:szCs w:val="24"/>
                <w:rtl w:val="0"/>
              </w:rPr>
              <w:t>К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мед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н</w:t>
            </w:r>
            <w:r>
              <w:rPr>
                <w:sz w:val="24"/>
                <w:szCs w:val="24"/>
                <w:rtl w:val="0"/>
              </w:rPr>
              <w:t xml:space="preserve">., </w:t>
            </w:r>
            <w:r>
              <w:rPr>
                <w:sz w:val="24"/>
                <w:szCs w:val="24"/>
                <w:rtl w:val="0"/>
                <w:lang w:val="ru-RU"/>
              </w:rPr>
              <w:t xml:space="preserve">Директор </w:t>
            </w:r>
            <w:r>
              <w:rPr>
                <w:sz w:val="24"/>
                <w:szCs w:val="24"/>
                <w:rtl w:val="0"/>
                <w:lang w:val="en-US"/>
              </w:rPr>
              <w:t xml:space="preserve">Training Platform Medical Center Dr. Nikolaev. </w:t>
            </w:r>
            <w:r>
              <w:rPr>
                <w:sz w:val="24"/>
                <w:szCs w:val="24"/>
                <w:rtl w:val="0"/>
              </w:rPr>
              <w:t>Генеральний директор «Медичний Центр лікаря Ніколаєва»</w:t>
            </w:r>
            <w:r>
              <w:rPr>
                <w:sz w:val="24"/>
                <w:szCs w:val="24"/>
                <w:rtl w:val="0"/>
              </w:rPr>
              <w:t xml:space="preserve">; 2) </w:t>
            </w:r>
            <w:r>
              <w:rPr>
                <w:sz w:val="24"/>
                <w:szCs w:val="24"/>
                <w:rtl w:val="0"/>
                <w:lang w:val="en-US"/>
              </w:rPr>
              <w:t>Лікар акушер</w:t>
            </w:r>
            <w:r>
              <w:rPr>
                <w:sz w:val="24"/>
                <w:szCs w:val="24"/>
                <w:rtl w:val="0"/>
                <w:lang w:val="en-US"/>
              </w:rPr>
              <w:t>-</w:t>
            </w:r>
            <w:r>
              <w:rPr>
                <w:sz w:val="24"/>
                <w:szCs w:val="24"/>
                <w:rtl w:val="0"/>
                <w:lang w:val="en-US"/>
              </w:rPr>
              <w:t>гінеколог</w:t>
            </w:r>
            <w:r>
              <w:rPr>
                <w:sz w:val="24"/>
                <w:szCs w:val="24"/>
                <w:rtl w:val="0"/>
                <w:lang w:val="en-US"/>
              </w:rPr>
              <w:t xml:space="preserve">, </w:t>
            </w:r>
            <w:r>
              <w:rPr>
                <w:sz w:val="24"/>
                <w:szCs w:val="24"/>
                <w:rtl w:val="0"/>
                <w:lang w:val="en-US"/>
              </w:rPr>
              <w:t>лікар УЗД вищої категорії</w:t>
            </w:r>
          </w:p>
        </w:tc>
      </w:tr>
      <w:tr>
        <w:tblPrEx>
          <w:shd w:val="clear" w:color="auto" w:fill="cdd4e9"/>
        </w:tblPrEx>
        <w:trPr>
          <w:trHeight w:val="12310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27"/>
              </w:numPr>
              <w:ind w:righ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Програма заходу БПР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"/>
              <w:spacing w:before="0" w:line="240" w:lineRule="auto"/>
              <w:rPr>
                <w:shd w:val="nil" w:color="auto" w:fill="auto"/>
              </w:rPr>
            </w:pP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>1-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pt-PT"/>
              </w:rPr>
              <w:t>й день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>:</w:t>
            </w:r>
          </w:p>
          <w:p>
            <w:pPr>
              <w:pStyle w:val="Стандартний"/>
              <w:bidi w:val="0"/>
              <w:spacing w:before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 xml:space="preserve">-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pt-PT"/>
              </w:rPr>
              <w:t>Фізичні принципи ультразвукової візуалізації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 xml:space="preserve">,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pt-PT"/>
              </w:rPr>
              <w:t>безпека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 xml:space="preserve">,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pt-PT"/>
              </w:rPr>
              <w:t>кнопологія</w:t>
            </w:r>
          </w:p>
          <w:p>
            <w:pPr>
              <w:pStyle w:val="Стандартний"/>
              <w:bidi w:val="0"/>
              <w:spacing w:before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 xml:space="preserve">-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pt-PT"/>
              </w:rPr>
              <w:t>Налаштування апарату УЗД для коректної роботи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 xml:space="preserve">.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pt-PT"/>
              </w:rPr>
              <w:t>Створення зображень і площини сканування</w:t>
            </w:r>
          </w:p>
          <w:p>
            <w:pPr>
              <w:pStyle w:val="Стандартний"/>
              <w:bidi w:val="0"/>
              <w:spacing w:before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 xml:space="preserve">-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pt-PT"/>
              </w:rPr>
              <w:t>Принципи допплерометрії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 xml:space="preserve">.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pt-PT"/>
              </w:rPr>
              <w:t>Ефект Допплера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 xml:space="preserve">.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pt-PT"/>
              </w:rPr>
              <w:t>Освоєння режимів сканування</w:t>
            </w:r>
          </w:p>
          <w:p>
            <w:pPr>
              <w:pStyle w:val="Стандартний"/>
              <w:spacing w:before="0" w:line="240" w:lineRule="auto"/>
              <w:rPr>
                <w:shd w:val="nil" w:color="auto" w:fill="auto"/>
                <w:lang w:val="pt-PT"/>
              </w:rPr>
            </w:pPr>
          </w:p>
          <w:p>
            <w:pPr>
              <w:pStyle w:val="Стандартний"/>
              <w:bidi w:val="0"/>
              <w:spacing w:before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>2-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pt-PT"/>
              </w:rPr>
              <w:t>й день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>:</w:t>
            </w:r>
          </w:p>
          <w:p>
            <w:pPr>
              <w:pStyle w:val="Стандартний"/>
              <w:bidi w:val="0"/>
              <w:spacing w:before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 xml:space="preserve">-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pt-PT"/>
              </w:rPr>
              <w:t>Допплерометрія фето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>-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pt-PT"/>
              </w:rPr>
              <w:t>плацентарного комплексу у вагітних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 xml:space="preserve">.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pt-PT"/>
              </w:rPr>
              <w:t>Маткові артерії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 xml:space="preserve">.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pt-PT"/>
              </w:rPr>
              <w:t xml:space="preserve">Правила та постанови 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 xml:space="preserve">ISUOG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pt-PT"/>
              </w:rPr>
              <w:t xml:space="preserve">та 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>FMF</w:t>
            </w:r>
          </w:p>
          <w:p>
            <w:pPr>
              <w:pStyle w:val="Стандартний"/>
              <w:bidi w:val="0"/>
              <w:spacing w:before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 xml:space="preserve">-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pt-PT"/>
              </w:rPr>
              <w:t>Допплерометрія фето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>-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pt-PT"/>
              </w:rPr>
              <w:t>плацентарного комплексу у вагітних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 xml:space="preserve">.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pt-PT"/>
              </w:rPr>
              <w:t>Артерії пуповини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 xml:space="preserve">.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pt-PT"/>
              </w:rPr>
              <w:t xml:space="preserve">Правила та постанови 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 xml:space="preserve">ISUOG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pt-PT"/>
              </w:rPr>
              <w:t xml:space="preserve">та 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>FMF</w:t>
            </w:r>
          </w:p>
          <w:p>
            <w:pPr>
              <w:pStyle w:val="Стандартний"/>
              <w:bidi w:val="0"/>
              <w:spacing w:before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 xml:space="preserve">-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pt-PT"/>
              </w:rPr>
              <w:t>Допплерометрія фето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>-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pt-PT"/>
              </w:rPr>
              <w:t>плацентарного комплексу у вагітних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 xml:space="preserve">.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pt-PT"/>
              </w:rPr>
              <w:t>Середня мозкова артерія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 xml:space="preserve">.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pt-PT"/>
              </w:rPr>
              <w:t xml:space="preserve">Правила та постанови 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 xml:space="preserve">ISUOG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pt-PT"/>
              </w:rPr>
              <w:t xml:space="preserve">та 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>FMF</w:t>
            </w:r>
          </w:p>
          <w:p>
            <w:pPr>
              <w:pStyle w:val="Стандартний"/>
              <w:spacing w:before="0" w:line="240" w:lineRule="auto"/>
              <w:rPr>
                <w:shd w:val="nil" w:color="auto" w:fill="auto"/>
                <w:lang w:val="pt-PT"/>
              </w:rPr>
            </w:pPr>
          </w:p>
          <w:p>
            <w:pPr>
              <w:pStyle w:val="Стандартний"/>
              <w:bidi w:val="0"/>
              <w:spacing w:before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>3-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pt-PT"/>
              </w:rPr>
              <w:t>й день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>:</w:t>
            </w:r>
          </w:p>
          <w:p>
            <w:pPr>
              <w:pStyle w:val="Стандартний"/>
              <w:bidi w:val="0"/>
              <w:spacing w:before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 xml:space="preserve">-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pt-PT"/>
              </w:rPr>
              <w:t>Церебро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>-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pt-PT"/>
              </w:rPr>
              <w:t>плацентарне співвідношення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 xml:space="preserve">.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pt-PT"/>
              </w:rPr>
              <w:t>Венозна протока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>.</w:t>
            </w:r>
          </w:p>
          <w:p>
            <w:pPr>
              <w:pStyle w:val="Стандартний"/>
              <w:bidi w:val="0"/>
              <w:spacing w:before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 xml:space="preserve">-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pt-PT"/>
              </w:rPr>
              <w:t>Аортальний істмус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 xml:space="preserve">.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pt-PT"/>
              </w:rPr>
              <w:t>Пупкова вена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 xml:space="preserve">.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pt-PT"/>
              </w:rPr>
              <w:t>Трикуспідільний клапан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 xml:space="preserve">.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pt-PT"/>
              </w:rPr>
              <w:t>Кардіо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>-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pt-PT"/>
              </w:rPr>
              <w:t>васкулярний профіль</w:t>
            </w:r>
          </w:p>
          <w:p>
            <w:pPr>
              <w:pStyle w:val="Стандартний"/>
              <w:bidi w:val="0"/>
              <w:spacing w:before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 xml:space="preserve">-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pt-PT"/>
              </w:rPr>
              <w:t>Приклади з практики</w:t>
            </w:r>
          </w:p>
          <w:p>
            <w:pPr>
              <w:pStyle w:val="Стандартний"/>
              <w:spacing w:before="0" w:line="240" w:lineRule="auto"/>
              <w:rPr>
                <w:shd w:val="nil" w:color="auto" w:fill="auto"/>
                <w:lang w:val="pt-PT"/>
              </w:rPr>
            </w:pPr>
          </w:p>
          <w:p>
            <w:pPr>
              <w:pStyle w:val="Стандартний"/>
              <w:bidi w:val="0"/>
              <w:spacing w:before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>4-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pt-PT"/>
              </w:rPr>
              <w:t>й день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>:</w:t>
            </w:r>
          </w:p>
          <w:p>
            <w:pPr>
              <w:pStyle w:val="Стандартний"/>
              <w:bidi w:val="0"/>
              <w:spacing w:before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 xml:space="preserve">-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pt-PT"/>
              </w:rPr>
              <w:t>Знайомство з світовими калькуляторами розрахунку допплерометричних вимірів фето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>-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pt-PT"/>
              </w:rPr>
              <w:t>плацентарного комплексу</w:t>
            </w:r>
          </w:p>
          <w:p>
            <w:pPr>
              <w:pStyle w:val="Стандартний"/>
              <w:bidi w:val="0"/>
              <w:spacing w:before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 xml:space="preserve">-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pt-PT"/>
              </w:rPr>
              <w:t xml:space="preserve">Калькулятор 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 xml:space="preserve">FMF.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pt-PT"/>
              </w:rPr>
              <w:t>Калькулятор Гратакоса</w:t>
            </w:r>
          </w:p>
          <w:p>
            <w:pPr>
              <w:pStyle w:val="Стандартний"/>
              <w:bidi w:val="0"/>
              <w:spacing w:before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 xml:space="preserve">-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pt-PT"/>
              </w:rPr>
              <w:t>Нормативна база в Україні з допплерометрії в акушерстві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 xml:space="preserve">.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pt-PT"/>
              </w:rPr>
              <w:t>Перспективи та напрямки</w:t>
            </w:r>
          </w:p>
          <w:p>
            <w:pPr>
              <w:pStyle w:val="Стандартний"/>
              <w:bidi w:val="0"/>
              <w:spacing w:before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 xml:space="preserve">-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pt-PT"/>
              </w:rPr>
              <w:t>Зразки протоколів допплерометрії</w:t>
            </w:r>
          </w:p>
          <w:p>
            <w:pPr>
              <w:pStyle w:val="Стандартний"/>
              <w:spacing w:before="0" w:line="240" w:lineRule="auto"/>
              <w:rPr>
                <w:shd w:val="nil" w:color="auto" w:fill="auto"/>
                <w:lang w:val="pt-PT"/>
              </w:rPr>
            </w:pPr>
          </w:p>
          <w:p>
            <w:pPr>
              <w:pStyle w:val="Стандартний"/>
              <w:bidi w:val="0"/>
              <w:spacing w:before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>5-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pt-PT"/>
              </w:rPr>
              <w:t>й день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>:</w:t>
            </w:r>
          </w:p>
          <w:p>
            <w:pPr>
              <w:pStyle w:val="Стандартний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 xml:space="preserve">-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pt-PT"/>
              </w:rPr>
              <w:t>Оволодіння практичними навичками допплерометрії в акушерстві на запрошених вагітних</w:t>
            </w:r>
          </w:p>
        </w:tc>
      </w:tr>
      <w:tr>
        <w:tblPrEx>
          <w:shd w:val="clear" w:color="auto" w:fill="cdd4e9"/>
        </w:tblPrEx>
        <w:trPr>
          <w:trHeight w:val="1240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29"/>
              </w:numPr>
              <w:ind w:righ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Опис вимог рівня знань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володіння темою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навичок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досвіду учасників до моменту реєстрації на даний захід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(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за потреби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-</w:t>
            </w:r>
          </w:p>
        </w:tc>
      </w:tr>
      <w:tr>
        <w:tblPrEx>
          <w:shd w:val="clear" w:color="auto" w:fill="cdd4e9"/>
        </w:tblPrEx>
        <w:trPr>
          <w:trHeight w:val="2501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31"/>
              </w:numPr>
              <w:ind w:righ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Технічна підтримка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(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так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/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ні</w:t>
            </w:r>
            <w:r>
              <w:rPr>
                <w:sz w:val="24"/>
                <w:szCs w:val="24"/>
                <w:shd w:val="nil" w:color="auto" w:fill="auto"/>
                <w:rtl w:val="0"/>
                <w:lang w:val="zh-TW" w:eastAsia="zh-TW"/>
              </w:rPr>
              <w:t xml:space="preserve">?).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які надані дистриб’ютором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Провайдер розміщує копію угоди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ні</w:t>
            </w:r>
          </w:p>
        </w:tc>
      </w:tr>
      <w:tr>
        <w:tblPrEx>
          <w:shd w:val="clear" w:color="auto" w:fill="cdd4e9"/>
        </w:tblPrEx>
        <w:trPr>
          <w:trHeight w:val="340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33"/>
              </w:numPr>
              <w:ind w:righ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Методи оцінювання набутих знань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Т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естування</w:t>
            </w:r>
          </w:p>
        </w:tc>
      </w:tr>
      <w:tr>
        <w:tblPrEx>
          <w:shd w:val="clear" w:color="auto" w:fill="cdd4e9"/>
        </w:tblPrEx>
        <w:trPr>
          <w:trHeight w:val="880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35"/>
              </w:numPr>
              <w:ind w:righ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Код заходу БПР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Реєстраційний номер заходу БПР вноситься після присвоєння Адміністратором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ind w:left="432" w:hanging="432"/>
        <w:jc w:val="center"/>
      </w:pPr>
      <w:r>
        <w:rPr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1920" w:h="16840" w:orient="portrait"/>
      <w:pgMar w:top="1134" w:right="850" w:bottom="1134" w:left="1701" w:header="0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9"/>
        <w:tab w:val="clear" w:pos="9355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4"/>
  </w:num>
  <w:num w:numId="9">
    <w:abstractNumId w:val="4"/>
    <w:lvlOverride w:ilvl="0">
      <w:startOverride w:val="5"/>
    </w:lvlOverride>
  </w:num>
  <w:num w:numId="10">
    <w:abstractNumId w:val="5"/>
  </w:num>
  <w:num w:numId="11">
    <w:abstractNumId w:val="5"/>
    <w:lvlOverride w:ilvl="0">
      <w:startOverride w:val="6"/>
    </w:lvlOverride>
  </w:num>
  <w:num w:numId="12">
    <w:abstractNumId w:val="6"/>
  </w:num>
  <w:num w:numId="13">
    <w:abstractNumId w:val="6"/>
    <w:lvlOverride w:ilvl="0">
      <w:startOverride w:val="7"/>
    </w:lvlOverride>
  </w:num>
  <w:num w:numId="14">
    <w:abstractNumId w:val="7"/>
  </w:num>
  <w:num w:numId="15">
    <w:abstractNumId w:val="7"/>
    <w:lvlOverride w:ilvl="0">
      <w:startOverride w:val="8"/>
    </w:lvlOverride>
  </w:num>
  <w:num w:numId="16">
    <w:abstractNumId w:val="8"/>
  </w:num>
  <w:num w:numId="17">
    <w:abstractNumId w:val="8"/>
    <w:lvlOverride w:ilvl="0">
      <w:startOverride w:val="9"/>
    </w:lvlOverride>
  </w:num>
  <w:num w:numId="18">
    <w:abstractNumId w:val="9"/>
  </w:num>
  <w:num w:numId="19">
    <w:abstractNumId w:val="9"/>
    <w:lvlOverride w:ilvl="0">
      <w:startOverride w:val="10"/>
    </w:lvlOverride>
  </w:num>
  <w:num w:numId="20">
    <w:abstractNumId w:val="10"/>
  </w:num>
  <w:num w:numId="21">
    <w:abstractNumId w:val="10"/>
    <w:lvlOverride w:ilvl="0">
      <w:startOverride w:val="11"/>
    </w:lvlOverride>
  </w:num>
  <w:num w:numId="22">
    <w:abstractNumId w:val="11"/>
  </w:num>
  <w:num w:numId="23">
    <w:abstractNumId w:val="11"/>
    <w:lvlOverride w:ilvl="0">
      <w:startOverride w:val="12"/>
    </w:lvlOverride>
  </w:num>
  <w:num w:numId="24">
    <w:abstractNumId w:val="12"/>
  </w:num>
  <w:num w:numId="25">
    <w:abstractNumId w:val="12"/>
    <w:lvlOverride w:ilvl="0">
      <w:startOverride w:val="13"/>
    </w:lvlOverride>
  </w:num>
  <w:num w:numId="26">
    <w:abstractNumId w:val="13"/>
  </w:num>
  <w:num w:numId="27">
    <w:abstractNumId w:val="13"/>
    <w:lvlOverride w:ilvl="0">
      <w:startOverride w:val="14"/>
    </w:lvlOverride>
  </w:num>
  <w:num w:numId="28">
    <w:abstractNumId w:val="14"/>
  </w:num>
  <w:num w:numId="29">
    <w:abstractNumId w:val="14"/>
    <w:lvlOverride w:ilvl="0">
      <w:startOverride w:val="15"/>
    </w:lvlOverride>
  </w:num>
  <w:num w:numId="30">
    <w:abstractNumId w:val="15"/>
  </w:num>
  <w:num w:numId="31">
    <w:abstractNumId w:val="15"/>
    <w:lvlOverride w:ilvl="0">
      <w:startOverride w:val="16"/>
    </w:lvlOverride>
  </w:num>
  <w:num w:numId="32">
    <w:abstractNumId w:val="16"/>
  </w:num>
  <w:num w:numId="33">
    <w:abstractNumId w:val="16"/>
    <w:lvlOverride w:ilvl="0">
      <w:startOverride w:val="17"/>
    </w:lvlOverride>
  </w:num>
  <w:num w:numId="34">
    <w:abstractNumId w:val="17"/>
  </w:num>
  <w:num w:numId="35">
    <w:abstractNumId w:val="17"/>
    <w:lvlOverride w:ilvl="0">
      <w:startOverride w:val="18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61" w:right="406" w:firstLine="708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Стандартний">
    <w:name w:val="Стандартний"/>
    <w:next w:val="Стандартни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