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КАРТКА ЗАХОДУ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майстер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клас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симуляційний 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 з оволодіння практичними навичками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семінар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фахова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тематична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школа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БПР МЕДИЧНИХ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ТА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ФАРМАЦЕВТИЧНИХ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ПРАЦІВНИКІВ</w:t>
      </w:r>
    </w:p>
    <w:tbl>
      <w:tblPr>
        <w:tblW w:w="9781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8"/>
        <w:gridCol w:w="5103"/>
      </w:tblGrid>
      <w:tr>
        <w:tblPrEx>
          <w:shd w:val="clear" w:color="auto" w:fill="cdd4e9"/>
        </w:tblPrEx>
        <w:trPr>
          <w:trHeight w:val="130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Назва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Тренінг «Пренатальна ультразвукова діагностика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Основи ехокардіографії плода»</w:t>
            </w:r>
          </w:p>
        </w:tc>
      </w:tr>
      <w:tr>
        <w:tblPrEx>
          <w:shd w:val="clear" w:color="auto" w:fill="cdd4e9"/>
        </w:tblPrEx>
        <w:trPr>
          <w:trHeight w:val="12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Назва Провайдера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 Єдиного державного реєстру юридичних осіб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фізичних осіб – підприємців та громадських формувань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ГО «Міжнародна міждисциплінарна асоціація медичних професіоналів»</w:t>
            </w:r>
          </w:p>
        </w:tc>
      </w:tr>
      <w:tr>
        <w:tblPrEx>
          <w:shd w:val="clear" w:color="auto" w:fill="cdd4e9"/>
        </w:tblPrEx>
        <w:trPr>
          <w:trHeight w:val="9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Співорганізатори заходу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Тренінгова платформа Медичного центру доктора Ніколаєва</w:t>
            </w:r>
          </w:p>
        </w:tc>
      </w:tr>
      <w:tr>
        <w:tblPrEx>
          <w:shd w:val="clear" w:color="auto" w:fill="cdd4e9"/>
        </w:tblPrEx>
        <w:trPr>
          <w:trHeight w:val="9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Цільова аудиторія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відповідно до Номенклатури лікарських спеціальностей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Акушерство і гінекологія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ультразвукова діагностика</w:t>
            </w:r>
          </w:p>
        </w:tc>
      </w:tr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9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Вид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Тренінг з оволодіння практичними навичками</w:t>
            </w:r>
          </w:p>
        </w:tc>
      </w:tr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Запланована кількість учасників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cdd4e9"/>
        </w:tblPrEx>
        <w:trPr>
          <w:trHeight w:val="18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Мета навчання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Надати теоретичних і практичних навичок із проведення ехокардіографії плода</w:t>
            </w:r>
          </w:p>
        </w:tc>
      </w:tr>
      <w:tr>
        <w:tblPrEx>
          <w:shd w:val="clear" w:color="auto" w:fill="cdd4e9"/>
        </w:tblPrEx>
        <w:trPr>
          <w:trHeight w:val="15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Метод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методи навчання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Надання навчального матеріалу у вигляді тематичних лекцій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демонстрація проведення техніки УЗД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відпрацювання учасниками проведення ехокардіографії плода на пацієнтках під керівництвом керівника тренінгу</w:t>
            </w:r>
          </w:p>
        </w:tc>
      </w:tr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Кількість балів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Дата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10-14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жовтня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2022</w:t>
            </w:r>
          </w:p>
        </w:tc>
      </w:tr>
      <w:tr>
        <w:tblPrEx>
          <w:shd w:val="clear" w:color="auto" w:fill="cdd4e9"/>
        </w:tblPrEx>
        <w:trPr>
          <w:trHeight w:val="9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Місце проведення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повна адреса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"/>
              <w:spacing w:before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pt-PT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pt-PT"/>
              </w:rPr>
              <w:t>Дніпро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pt-PT"/>
              </w:rPr>
              <w:t>вул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pt-PT"/>
              </w:rPr>
              <w:t>Богдана Хмельн цького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, 16,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pt-PT"/>
              </w:rPr>
              <w:t>«Медичний центр лікаря Ніколаєва»</w:t>
            </w:r>
          </w:p>
        </w:tc>
      </w:tr>
      <w:tr>
        <w:tblPrEx>
          <w:shd w:val="clear" w:color="auto" w:fill="cdd4e9"/>
        </w:tblPrEx>
        <w:trPr>
          <w:trHeight w:val="6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Прізвище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ім’я та по батькові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</w:rPr>
              <w:t xml:space="preserve">1)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Микола Іванович Ніколаєв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2)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Олена Миколаївна Сусідко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5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Резюме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tl w:val="0"/>
              </w:rPr>
              <w:t xml:space="preserve">1)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Лікар акушер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гінеколог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лікар УЗД вищої категорії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2)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Директор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Training Platform Medical Center Dr. Nikolaev.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Генеральний директор «Медичний Центр лікаря Ніколаєва»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dd4e9"/>
        </w:tblPrEx>
        <w:trPr>
          <w:trHeight w:val="1141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Програма заходу БПР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1-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й день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: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Ембріологія серця та магістральних судин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Кореляція анатомічних зрізів серця з зображеннями УЗ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Опис серця та магістральних судин в протоколі першого та другого триместрів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  <w:lang w:val="pt-PT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2-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й день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: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Визначення вісцерального сітусу у плода при УЗД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.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Гетеротаксія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 xml:space="preserve">Використання допплера у дослідженні серця та судин 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таблиці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)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Значення дослідження венозної протоки в оцінці серця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Тотальний аномальний дренаж легеневих вен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Патологія венозної системи плода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  <w:lang w:val="pt-PT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3-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й день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: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Конотрункусні аномалії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: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транспозиція магістральних судин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подвійне відходження магістральних судин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загальгий артеріальний стовбур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тетрада Фалло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Аномалії АВ клапанів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Дефекти міжпередсердної та міжшлуночкової перетинок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Єдиний шлуночок серця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  <w:lang w:val="pt-PT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4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день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: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Критичні вади серця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Аномалії серця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що часто зустрічаються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;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малі вади серця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Фетальні аритмії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  <w:lang w:val="pt-PT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5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день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>: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Випадки із практики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Тести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  <w:lang w:val="pt-PT"/>
              </w:rPr>
              <w:t xml:space="preserve">-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pt-PT"/>
              </w:rPr>
              <w:t>Оволодіння практичними навичками ехокардіографії плода на запрошених вагітних</w:t>
            </w:r>
          </w:p>
        </w:tc>
      </w:tr>
      <w:tr>
        <w:tblPrEx>
          <w:shd w:val="clear" w:color="auto" w:fill="cdd4e9"/>
        </w:tblPrEx>
        <w:trPr>
          <w:trHeight w:val="12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Опис вимог рівня знань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володіння темою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навичок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досвіду учасників до моменту реєстрації на даний захід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за потреби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dd4e9"/>
        </w:tblPrEx>
        <w:trPr>
          <w:trHeight w:val="2501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Технічна підтримка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так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  <w:r>
              <w:rPr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?).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які надані дистриб’ютором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Провайдер розміщує копію угоди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</w:p>
        </w:tc>
      </w:tr>
      <w:tr>
        <w:tblPrEx>
          <w:shd w:val="clear" w:color="auto" w:fill="cdd4e9"/>
        </w:tblPrEx>
        <w:trPr>
          <w:trHeight w:val="34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Методи оцінювання набутих знань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естування</w:t>
            </w:r>
          </w:p>
        </w:tc>
      </w:tr>
      <w:tr>
        <w:tblPrEx>
          <w:shd w:val="clear" w:color="auto" w:fill="cdd4e9"/>
        </w:tblPrEx>
        <w:trPr>
          <w:trHeight w:val="88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Код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432" w:hanging="432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20" w:h="16840" w:orient="portrait"/>
      <w:pgMar w:top="1134" w:right="850" w:bottom="1134" w:left="1701" w:header="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9"/>
  </w:num>
  <w:num w:numId="19">
    <w:abstractNumId w:val="9"/>
    <w:lvlOverride w:ilvl="0">
      <w:startOverride w:val="10"/>
    </w:lvlOverride>
  </w:num>
  <w:num w:numId="20">
    <w:abstractNumId w:val="10"/>
  </w:num>
  <w:num w:numId="21">
    <w:abstractNumId w:val="10"/>
    <w:lvlOverride w:ilvl="0">
      <w:startOverride w:val="11"/>
    </w:lvlOverride>
  </w:num>
  <w:num w:numId="22">
    <w:abstractNumId w:val="11"/>
  </w:num>
  <w:num w:numId="23">
    <w:abstractNumId w:val="11"/>
    <w:lvlOverride w:ilvl="0">
      <w:startOverride w:val="12"/>
    </w:lvlOverride>
  </w:num>
  <w:num w:numId="24">
    <w:abstractNumId w:val="12"/>
  </w:num>
  <w:num w:numId="25">
    <w:abstractNumId w:val="12"/>
    <w:lvlOverride w:ilvl="0">
      <w:startOverride w:val="13"/>
    </w:lvlOverride>
  </w:num>
  <w:num w:numId="26">
    <w:abstractNumId w:val="13"/>
  </w:num>
  <w:num w:numId="27">
    <w:abstractNumId w:val="13"/>
    <w:lvlOverride w:ilvl="0">
      <w:startOverride w:val="14"/>
    </w:lvlOverride>
  </w:num>
  <w:num w:numId="28">
    <w:abstractNumId w:val="14"/>
  </w:num>
  <w:num w:numId="29">
    <w:abstractNumId w:val="14"/>
    <w:lvlOverride w:ilvl="0">
      <w:startOverride w:val="15"/>
    </w:lvlOverride>
  </w:num>
  <w:num w:numId="30">
    <w:abstractNumId w:val="15"/>
  </w:num>
  <w:num w:numId="31">
    <w:abstractNumId w:val="15"/>
    <w:lvlOverride w:ilvl="0">
      <w:startOverride w:val="16"/>
    </w:lvlOverride>
  </w:num>
  <w:num w:numId="32">
    <w:abstractNumId w:val="16"/>
  </w:num>
  <w:num w:numId="33">
    <w:abstractNumId w:val="16"/>
    <w:lvlOverride w:ilvl="0">
      <w:startOverride w:val="17"/>
    </w:lvlOverride>
  </w:num>
  <w:num w:numId="34">
    <w:abstractNumId w:val="17"/>
  </w:num>
  <w:num w:numId="35">
    <w:abstractNumId w:val="17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406" w:firstLine="708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Стандартний">
    <w:name w:val="Стандартний"/>
    <w:next w:val="Стандарт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